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bookmarkStart w:id="0" w:name="_GoBack"/>
      <w:bookmarkEnd w:id="0"/>
      <w:r>
        <w:rPr>
          <w:rFonts w:hint="eastAsia" w:ascii="方正小标宋简体" w:hAnsi="方正小标宋简体" w:eastAsia="方正小标宋简体" w:cs="方正小标宋简体"/>
          <w:sz w:val="44"/>
          <w:szCs w:val="44"/>
          <w:lang w:eastAsia="zh-CN"/>
        </w:rPr>
        <w:t>成都市金堂社区发展基金会</w:t>
      </w:r>
    </w:p>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关联交易管理制度</w:t>
      </w:r>
    </w:p>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rPr>
      </w:pPr>
      <w:r>
        <w:rPr>
          <w:rFonts w:hint="eastAsia" w:ascii="黑体" w:hAnsi="黑体" w:eastAsia="黑体" w:cs="黑体"/>
        </w:rPr>
        <w:t>第一章 总则</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第一条</w:t>
      </w:r>
      <w:r>
        <w:rPr>
          <w:rFonts w:hint="eastAsia"/>
          <w:lang w:val="en-US" w:eastAsia="zh-CN"/>
        </w:rPr>
        <w:t xml:space="preserve">  </w:t>
      </w:r>
      <w:r>
        <w:rPr>
          <w:rFonts w:hint="eastAsia"/>
        </w:rPr>
        <w:t>根据《基金会管理条例》《成都市</w:t>
      </w:r>
      <w:r>
        <w:rPr>
          <w:rFonts w:hint="eastAsia"/>
          <w:lang w:eastAsia="zh-CN"/>
        </w:rPr>
        <w:t>金堂</w:t>
      </w:r>
      <w:r>
        <w:rPr>
          <w:rFonts w:hint="eastAsia"/>
        </w:rPr>
        <w:t>社区发展基金会章程》及其他法律法规的规定，为了保证</w:t>
      </w:r>
      <w:r>
        <w:rPr>
          <w:rFonts w:hint="eastAsia"/>
          <w:lang w:eastAsia="zh-CN"/>
        </w:rPr>
        <w:t>成都市金堂社区发展</w:t>
      </w:r>
      <w:r>
        <w:rPr>
          <w:rFonts w:hint="eastAsia"/>
        </w:rPr>
        <w:t>基金会</w:t>
      </w:r>
      <w:r>
        <w:rPr>
          <w:rFonts w:hint="eastAsia"/>
          <w:lang w:eastAsia="zh-CN"/>
        </w:rPr>
        <w:t>（以下简称“基金会”）</w:t>
      </w:r>
      <w:r>
        <w:rPr>
          <w:rFonts w:hint="eastAsia"/>
        </w:rPr>
        <w:t>与关联方之间发生的关联交易符合公平、公正、公开原则，确保基金会关联交易不损害基金会的利益，特制定本办法。</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第二条</w:t>
      </w:r>
      <w:r>
        <w:rPr>
          <w:rFonts w:hint="eastAsia"/>
          <w:lang w:val="en-US" w:eastAsia="zh-CN"/>
        </w:rPr>
        <w:t xml:space="preserve"> </w:t>
      </w:r>
      <w:r>
        <w:rPr>
          <w:rFonts w:hint="eastAsia"/>
        </w:rPr>
        <w:t>基金会的关联交易，是指基金会和具有关联关系的关联人之间发生的转移资源或义务的事项。</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第三条</w:t>
      </w:r>
      <w:r>
        <w:rPr>
          <w:rFonts w:hint="eastAsia"/>
          <w:lang w:val="en-US" w:eastAsia="zh-CN"/>
        </w:rPr>
        <w:t xml:space="preserve"> </w:t>
      </w:r>
      <w:r>
        <w:rPr>
          <w:rFonts w:hint="eastAsia"/>
        </w:rPr>
        <w:t>基金会关联关系应当遵循以下原则：</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（一）</w:t>
      </w:r>
      <w:r>
        <w:rPr>
          <w:rFonts w:hint="eastAsia"/>
        </w:rPr>
        <w:t>公平、公开、公正的原则；</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（二）</w:t>
      </w:r>
      <w:r>
        <w:rPr>
          <w:rFonts w:hint="eastAsia"/>
        </w:rPr>
        <w:t>平等、自愿、有偿、等价的原则；</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（三）</w:t>
      </w:r>
      <w:r>
        <w:rPr>
          <w:rFonts w:hint="eastAsia"/>
        </w:rPr>
        <w:t>基金会不得利用关联关系损害基金会合法权益；</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（四）</w:t>
      </w:r>
      <w:r>
        <w:rPr>
          <w:rFonts w:hint="eastAsia"/>
        </w:rPr>
        <w:t>基金会做关联交易表决时候，有必要的可以聘请专业的财务、法律机构出具专业意见。</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rPr>
      </w:pPr>
      <w:r>
        <w:rPr>
          <w:rFonts w:hint="eastAsia" w:ascii="黑体" w:hAnsi="黑体" w:eastAsia="黑体" w:cs="黑体"/>
        </w:rPr>
        <w:t>第二章 关联人和关联交易范围</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第四条</w:t>
      </w:r>
      <w:r>
        <w:rPr>
          <w:rFonts w:hint="eastAsia"/>
          <w:lang w:val="en-US" w:eastAsia="zh-CN"/>
        </w:rPr>
        <w:t xml:space="preserve"> </w:t>
      </w:r>
      <w:r>
        <w:rPr>
          <w:rFonts w:hint="eastAsia"/>
        </w:rPr>
        <w:t>本办法所称的关联关系，是指基金会的发起人、理事主要来源单位、投资的被投资方以及其他与基金会之间存在控制、共同控制或者重大影响关系的个人或者组织与基金会之间的关系。</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第五条</w:t>
      </w:r>
      <w:r>
        <w:rPr>
          <w:rFonts w:hint="eastAsia"/>
          <w:lang w:val="en-US" w:eastAsia="zh-CN"/>
        </w:rPr>
        <w:t xml:space="preserve"> </w:t>
      </w:r>
      <w:r>
        <w:rPr>
          <w:rFonts w:hint="eastAsia"/>
        </w:rPr>
        <w:t>关联人具体包括：具有关联关系的自然人、法人和其他组织。</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第六条</w:t>
      </w:r>
      <w:r>
        <w:rPr>
          <w:rFonts w:hint="eastAsia"/>
          <w:lang w:val="en-US" w:eastAsia="zh-CN"/>
        </w:rPr>
        <w:t xml:space="preserve"> </w:t>
      </w:r>
      <w:r>
        <w:rPr>
          <w:rFonts w:hint="eastAsia"/>
        </w:rPr>
        <w:t>关联关系的自然人包括：基金会的发起人、基金会的理事、专项基金的负责人、总监以上职务的工作人员等，以及上述人员的近亲属。</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第七条</w:t>
      </w:r>
      <w:r>
        <w:rPr>
          <w:rFonts w:hint="eastAsia"/>
          <w:lang w:val="en-US" w:eastAsia="zh-CN"/>
        </w:rPr>
        <w:t xml:space="preserve"> </w:t>
      </w:r>
      <w:r>
        <w:rPr>
          <w:rFonts w:hint="eastAsia"/>
        </w:rPr>
        <w:t>关联关系的法人和其他组织包括：具有关联关系的自然人直接或者间接控制的企业、法人或者其他组织。</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第八条</w:t>
      </w:r>
      <w:r>
        <w:rPr>
          <w:rFonts w:hint="eastAsia"/>
          <w:lang w:val="en-US" w:eastAsia="zh-CN"/>
        </w:rPr>
        <w:t xml:space="preserve"> </w:t>
      </w:r>
      <w:r>
        <w:rPr>
          <w:rFonts w:hint="eastAsia"/>
        </w:rPr>
        <w:t>本办法所指的关联交易包括但不限于下列事项：</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Chars="200"/>
        <w:textAlignment w:val="auto"/>
        <w:rPr>
          <w:rFonts w:hint="eastAsia"/>
        </w:rPr>
      </w:pPr>
      <w:r>
        <w:rPr>
          <w:rFonts w:hint="eastAsia"/>
          <w:lang w:eastAsia="zh-CN"/>
        </w:rPr>
        <w:t>（一）</w:t>
      </w:r>
      <w:r>
        <w:rPr>
          <w:rFonts w:hint="eastAsia"/>
        </w:rPr>
        <w:t>基金会出资购买或向基金会销售商品或者服务；</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Chars="200"/>
        <w:textAlignment w:val="auto"/>
        <w:rPr>
          <w:rFonts w:hint="eastAsia"/>
        </w:rPr>
      </w:pPr>
      <w:r>
        <w:rPr>
          <w:rFonts w:hint="eastAsia"/>
          <w:lang w:eastAsia="zh-CN"/>
        </w:rPr>
        <w:t>（二）</w:t>
      </w:r>
      <w:r>
        <w:rPr>
          <w:rFonts w:hint="eastAsia"/>
        </w:rPr>
        <w:t>向基金会提供或者需要支付酬劳的劳务；</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Chars="200"/>
        <w:textAlignment w:val="auto"/>
        <w:rPr>
          <w:rFonts w:hint="eastAsia"/>
        </w:rPr>
      </w:pPr>
      <w:r>
        <w:rPr>
          <w:rFonts w:hint="eastAsia"/>
          <w:lang w:eastAsia="zh-CN"/>
        </w:rPr>
        <w:t>（三）</w:t>
      </w:r>
      <w:r>
        <w:rPr>
          <w:rFonts w:hint="eastAsia"/>
        </w:rPr>
        <w:t>有偿代理、租赁；</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（四）</w:t>
      </w:r>
      <w:r>
        <w:rPr>
          <w:rFonts w:hint="eastAsia"/>
        </w:rPr>
        <w:t>基金会向关联人提供资金；</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（五）</w:t>
      </w:r>
      <w:r>
        <w:rPr>
          <w:rFonts w:hint="eastAsia"/>
        </w:rPr>
        <w:t>由关联人向基金会提供保值增值业务；</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（六）</w:t>
      </w:r>
      <w:r>
        <w:rPr>
          <w:rFonts w:hint="eastAsia"/>
        </w:rPr>
        <w:t>管理方面的合同；</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eastAsia="方正仿宋简体"/>
          <w:lang w:eastAsia="zh-CN"/>
        </w:rPr>
      </w:pPr>
      <w:r>
        <w:rPr>
          <w:rFonts w:hint="eastAsia"/>
          <w:lang w:eastAsia="zh-CN"/>
        </w:rPr>
        <w:t>（七）</w:t>
      </w:r>
      <w:r>
        <w:rPr>
          <w:rFonts w:hint="eastAsia"/>
        </w:rPr>
        <w:t>授权许可协议</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第九条</w:t>
      </w:r>
      <w:r>
        <w:rPr>
          <w:rFonts w:hint="eastAsia"/>
          <w:lang w:val="en-US" w:eastAsia="zh-CN"/>
        </w:rPr>
        <w:t xml:space="preserve"> </w:t>
      </w:r>
      <w:r>
        <w:rPr>
          <w:rFonts w:hint="eastAsia"/>
        </w:rPr>
        <w:t>本办法禁止的关联交易行为包括：</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（一）</w:t>
      </w:r>
      <w:r>
        <w:rPr>
          <w:rFonts w:hint="eastAsia"/>
        </w:rPr>
        <w:t>由基金会向关联人自然人和关联法人提供担保；</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（二）</w:t>
      </w:r>
      <w:r>
        <w:rPr>
          <w:rFonts w:hint="eastAsia"/>
        </w:rPr>
        <w:t>关联自然人不得与基金会有任何有偿交易行为，为关联人员发放薪酬福利的除外。</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rPr>
      </w:pPr>
      <w:r>
        <w:rPr>
          <w:rFonts w:hint="eastAsia" w:ascii="黑体" w:hAnsi="黑体" w:eastAsia="黑体" w:cs="黑体"/>
        </w:rPr>
        <w:t>第三章 关联交易决策</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第十条</w:t>
      </w:r>
      <w:r>
        <w:rPr>
          <w:rFonts w:hint="eastAsia"/>
          <w:lang w:val="en-US" w:eastAsia="zh-CN"/>
        </w:rPr>
        <w:t xml:space="preserve"> </w:t>
      </w:r>
      <w:r>
        <w:rPr>
          <w:rFonts w:hint="eastAsia"/>
        </w:rPr>
        <w:t>关联交易决策应符合以下条件：</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（一）</w:t>
      </w:r>
      <w:r>
        <w:rPr>
          <w:rFonts w:hint="eastAsia"/>
        </w:rPr>
        <w:t>关联交易须由理事会表决；</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（二）</w:t>
      </w:r>
      <w:r>
        <w:rPr>
          <w:rFonts w:hint="eastAsia"/>
        </w:rPr>
        <w:t>三分之二以上无关联关系的理事出席；</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（三）</w:t>
      </w:r>
      <w:r>
        <w:rPr>
          <w:rFonts w:hint="eastAsia"/>
        </w:rPr>
        <w:t>属于《基金会管理条例》或《基金会章程》规定的重大事项的，须经无关联关系理事三分之二以上通过方为有效；</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（四）</w:t>
      </w:r>
      <w:r>
        <w:rPr>
          <w:rFonts w:hint="eastAsia"/>
        </w:rPr>
        <w:t>一般事项的表决需经无关联关系理事过半数通过方为有效；</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（五）</w:t>
      </w:r>
      <w:r>
        <w:rPr>
          <w:rFonts w:hint="eastAsia"/>
        </w:rPr>
        <w:t>关联理事不得参与决策。</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第十一条</w:t>
      </w:r>
      <w:r>
        <w:rPr>
          <w:rFonts w:hint="eastAsia"/>
          <w:lang w:val="en-US" w:eastAsia="zh-CN"/>
        </w:rPr>
        <w:t xml:space="preserve"> </w:t>
      </w:r>
      <w:r>
        <w:rPr>
          <w:rFonts w:hint="eastAsia"/>
        </w:rPr>
        <w:t>根据本章规定批准实施的关联交易，基金会关联人在基金会签署涉及关联交易的协议时，应当采取必要的回避措施：</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（一）</w:t>
      </w:r>
      <w:r>
        <w:rPr>
          <w:rFonts w:hint="eastAsia"/>
        </w:rPr>
        <w:t>任何人只能代表一方签署协议；</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（二）</w:t>
      </w:r>
      <w:r>
        <w:rPr>
          <w:rFonts w:hint="eastAsia"/>
        </w:rPr>
        <w:t>关联人不得以任何方式干预基金会的决定。</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rPr>
      </w:pPr>
      <w:r>
        <w:rPr>
          <w:rFonts w:hint="eastAsia" w:ascii="黑体" w:hAnsi="黑体" w:eastAsia="黑体" w:cs="黑体"/>
        </w:rPr>
        <w:t>第四章 信息公开</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第十二条</w:t>
      </w:r>
      <w:r>
        <w:rPr>
          <w:rFonts w:hint="eastAsia"/>
          <w:lang w:val="en-US" w:eastAsia="zh-CN"/>
        </w:rPr>
        <w:t xml:space="preserve"> </w:t>
      </w:r>
      <w:r>
        <w:rPr>
          <w:rFonts w:hint="eastAsia"/>
        </w:rPr>
        <w:t>基金会进行关联交易的，应依法进行信息公开。信息公开应当真实、完整、及时。</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第十三条</w:t>
      </w:r>
      <w:r>
        <w:rPr>
          <w:rFonts w:hint="eastAsia"/>
          <w:lang w:val="en-US" w:eastAsia="zh-CN"/>
        </w:rPr>
        <w:t xml:space="preserve"> </w:t>
      </w:r>
      <w:r>
        <w:rPr>
          <w:rFonts w:hint="eastAsia"/>
        </w:rPr>
        <w:t>基金会发生下列关联交易，应在交易发生后30日内在民政部统一信息平台向社会公开交易内容和金额：</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（一）</w:t>
      </w:r>
      <w:r>
        <w:rPr>
          <w:rFonts w:hint="eastAsia"/>
        </w:rPr>
        <w:t>与重要关联方发生交易；</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（二）</w:t>
      </w:r>
      <w:r>
        <w:rPr>
          <w:rFonts w:hint="eastAsia"/>
        </w:rPr>
        <w:t>接受重要关联方捐赠；</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（三）</w:t>
      </w:r>
      <w:r>
        <w:rPr>
          <w:rFonts w:hint="eastAsia"/>
        </w:rPr>
        <w:t>对重要关联方进行资助；</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（四）</w:t>
      </w:r>
      <w:r>
        <w:rPr>
          <w:rFonts w:hint="eastAsia"/>
        </w:rPr>
        <w:t>与重要关联方共同投资；</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（五）</w:t>
      </w:r>
      <w:r>
        <w:rPr>
          <w:rFonts w:hint="eastAsia"/>
        </w:rPr>
        <w:t>委托重要关联方开展投资活动；</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rPr>
      </w:pPr>
      <w:r>
        <w:rPr>
          <w:rFonts w:hint="eastAsia"/>
          <w:lang w:eastAsia="zh-CN"/>
        </w:rPr>
        <w:t>（六）</w:t>
      </w:r>
      <w:r>
        <w:rPr>
          <w:rFonts w:hint="eastAsia"/>
        </w:rPr>
        <w:t>与重要关联方发生资金往来。</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第十四</w:t>
      </w:r>
      <w:r>
        <w:rPr>
          <w:rFonts w:hint="eastAsia"/>
          <w:lang w:val="en-US" w:eastAsia="zh-CN"/>
        </w:rPr>
        <w:t xml:space="preserve"> </w:t>
      </w:r>
      <w:r>
        <w:rPr>
          <w:rFonts w:hint="eastAsia"/>
        </w:rPr>
        <w:t>条基金会发生关联交易，应及时将关联信息发布在基金会官网等信息公开渠道。</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rPr>
      </w:pPr>
      <w:r>
        <w:rPr>
          <w:rFonts w:hint="eastAsia" w:ascii="黑体" w:hAnsi="黑体" w:eastAsia="黑体" w:cs="黑体"/>
        </w:rPr>
        <w:t>第五章</w:t>
      </w:r>
      <w:r>
        <w:rPr>
          <w:rFonts w:hint="eastAsia" w:ascii="黑体" w:hAnsi="黑体" w:eastAsia="黑体" w:cs="黑体"/>
          <w:lang w:val="en-US" w:eastAsia="zh-CN"/>
        </w:rPr>
        <w:t xml:space="preserve"> </w:t>
      </w:r>
      <w:r>
        <w:rPr>
          <w:rFonts w:hint="eastAsia" w:ascii="黑体" w:hAnsi="黑体" w:eastAsia="黑体" w:cs="黑体"/>
        </w:rPr>
        <w:t>法律责任</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第十五条</w:t>
      </w:r>
      <w:r>
        <w:rPr>
          <w:rFonts w:hint="eastAsia"/>
          <w:lang w:val="en-US" w:eastAsia="zh-CN"/>
        </w:rPr>
        <w:t xml:space="preserve"> </w:t>
      </w:r>
      <w:r>
        <w:rPr>
          <w:rFonts w:hint="eastAsia"/>
        </w:rPr>
        <w:t>基金会理事会违反本办法第三条、第九条、</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textAlignment w:val="auto"/>
        <w:rPr>
          <w:rFonts w:hint="eastAsia"/>
        </w:rPr>
      </w:pPr>
      <w:r>
        <w:rPr>
          <w:rFonts w:hint="eastAsia"/>
        </w:rPr>
        <w:t>第十条以及章程规定，致使基金会遭受财产损失的，参与决策的理事需要承担相应的赔偿责任，在理事会决议当中明确提出否定意见的理事可以免责。</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eastAsia"/>
        </w:rPr>
      </w:pPr>
      <w:r>
        <w:rPr>
          <w:rFonts w:hint="eastAsia"/>
          <w:b/>
          <w:bCs/>
        </w:rPr>
        <w:t>第十六条</w:t>
      </w:r>
      <w:r>
        <w:rPr>
          <w:rFonts w:hint="eastAsia"/>
          <w:lang w:val="en-US" w:eastAsia="zh-CN"/>
        </w:rPr>
        <w:t xml:space="preserve"> </w:t>
      </w:r>
      <w:r>
        <w:rPr>
          <w:rFonts w:hint="eastAsia"/>
        </w:rPr>
        <w:t>关联人违反本规定进行关联交易，侵占、挪用基金会财产的，应当退还非法占用的财产；构成犯罪的，由司法机关依法追究刑事责任。</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rPr>
      </w:pPr>
      <w:r>
        <w:rPr>
          <w:rFonts w:hint="eastAsia" w:ascii="黑体" w:hAnsi="黑体" w:eastAsia="黑体" w:cs="黑体"/>
        </w:rPr>
        <w:t>第六章</w:t>
      </w:r>
      <w:r>
        <w:rPr>
          <w:rFonts w:hint="eastAsia" w:ascii="黑体" w:hAnsi="黑体" w:eastAsia="黑体" w:cs="黑体"/>
          <w:lang w:val="en-US" w:eastAsia="zh-CN"/>
        </w:rPr>
        <w:t xml:space="preserve"> </w:t>
      </w:r>
      <w:r>
        <w:rPr>
          <w:rFonts w:hint="eastAsia" w:ascii="黑体" w:hAnsi="黑体" w:eastAsia="黑体" w:cs="黑体"/>
        </w:rPr>
        <w:t>附则</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w:t>
      </w:r>
      <w:r>
        <w:rPr>
          <w:rFonts w:hint="eastAsia" w:ascii="方正仿宋简体" w:hAnsi="方正仿宋简体" w:cs="方正仿宋简体"/>
          <w:b/>
          <w:bCs/>
          <w:sz w:val="32"/>
          <w:szCs w:val="32"/>
          <w:lang w:eastAsia="zh-CN"/>
        </w:rPr>
        <w:t>十七</w:t>
      </w:r>
      <w:r>
        <w:rPr>
          <w:rFonts w:hint="eastAsia" w:ascii="方正仿宋简体" w:hAnsi="方正仿宋简体" w:eastAsia="方正仿宋简体" w:cs="方正仿宋简体"/>
          <w:b/>
          <w:bCs/>
          <w:sz w:val="32"/>
          <w:szCs w:val="32"/>
        </w:rPr>
        <w:t>条</w:t>
      </w:r>
      <w:r>
        <w:rPr>
          <w:rFonts w:hint="eastAsia" w:ascii="方正仿宋简体" w:hAnsi="方正仿宋简体" w:cs="方正仿宋简体"/>
          <w:b/>
          <w:bCs/>
          <w:sz w:val="32"/>
          <w:szCs w:val="32"/>
          <w:lang w:val="en-US" w:eastAsia="zh-CN"/>
        </w:rPr>
        <w:t xml:space="preserve"> </w:t>
      </w:r>
      <w:r>
        <w:rPr>
          <w:rFonts w:hint="eastAsia" w:ascii="方正仿宋简体" w:hAnsi="方正仿宋简体" w:eastAsia="方正仿宋简体" w:cs="方正仿宋简体"/>
          <w:sz w:val="32"/>
          <w:szCs w:val="32"/>
        </w:rPr>
        <w:t>本</w:t>
      </w:r>
      <w:r>
        <w:rPr>
          <w:rFonts w:hint="eastAsia" w:ascii="方正仿宋简体" w:hAnsi="方正仿宋简体" w:cs="方正仿宋简体"/>
          <w:sz w:val="32"/>
          <w:szCs w:val="32"/>
          <w:lang w:eastAsia="zh-CN"/>
        </w:rPr>
        <w:t>制度</w:t>
      </w:r>
      <w:r>
        <w:rPr>
          <w:rFonts w:hint="eastAsia" w:ascii="方正仿宋简体" w:hAnsi="方正仿宋简体" w:eastAsia="方正仿宋简体" w:cs="方正仿宋简体"/>
          <w:sz w:val="32"/>
          <w:szCs w:val="32"/>
        </w:rPr>
        <w:t>在实施过程中如与</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cs="方正仿宋简体"/>
          <w:sz w:val="32"/>
          <w:szCs w:val="32"/>
          <w:lang w:eastAsia="zh-CN"/>
        </w:rPr>
        <w:t>《</w:t>
      </w:r>
      <w:r>
        <w:rPr>
          <w:rFonts w:hint="eastAsia" w:ascii="方正仿宋简体" w:hAnsi="方正仿宋简体" w:eastAsia="方正仿宋简体" w:cs="方正仿宋简体"/>
          <w:sz w:val="32"/>
          <w:szCs w:val="32"/>
        </w:rPr>
        <w:t>章程</w:t>
      </w:r>
      <w:r>
        <w:rPr>
          <w:rFonts w:hint="eastAsia" w:ascii="方正仿宋简体" w:hAnsi="方正仿宋简体" w:cs="方正仿宋简体"/>
          <w:sz w:val="32"/>
          <w:szCs w:val="32"/>
          <w:lang w:eastAsia="zh-CN"/>
        </w:rPr>
        <w:t>》</w:t>
      </w:r>
      <w:r>
        <w:rPr>
          <w:rFonts w:hint="eastAsia" w:ascii="方正仿宋简体" w:hAnsi="方正仿宋简体" w:eastAsia="方正仿宋简体" w:cs="方正仿宋简体"/>
          <w:sz w:val="32"/>
          <w:szCs w:val="32"/>
        </w:rPr>
        <w:t>冲突则以</w:t>
      </w:r>
      <w:r>
        <w:rPr>
          <w:rFonts w:hint="eastAsia" w:ascii="方正仿宋简体" w:hAnsi="方正仿宋简体" w:cs="方正仿宋简体"/>
          <w:sz w:val="32"/>
          <w:szCs w:val="32"/>
          <w:lang w:eastAsia="zh-CN"/>
        </w:rPr>
        <w:t>《</w:t>
      </w:r>
      <w:r>
        <w:rPr>
          <w:rFonts w:hint="eastAsia" w:ascii="方正仿宋简体" w:hAnsi="方正仿宋简体" w:eastAsia="方正仿宋简体" w:cs="方正仿宋简体"/>
          <w:sz w:val="32"/>
          <w:szCs w:val="32"/>
        </w:rPr>
        <w:t>章程</w:t>
      </w:r>
      <w:r>
        <w:rPr>
          <w:rFonts w:hint="eastAsia" w:ascii="方正仿宋简体" w:hAnsi="方正仿宋简体" w:cs="方正仿宋简体"/>
          <w:sz w:val="32"/>
          <w:szCs w:val="32"/>
          <w:lang w:eastAsia="zh-CN"/>
        </w:rPr>
        <w:t>》</w:t>
      </w:r>
      <w:r>
        <w:rPr>
          <w:rFonts w:hint="eastAsia" w:ascii="方正仿宋简体" w:hAnsi="方正仿宋简体" w:eastAsia="方正仿宋简体" w:cs="方正仿宋简体"/>
          <w:sz w:val="32"/>
          <w:szCs w:val="32"/>
        </w:rPr>
        <w:t>为准。</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w:t>
      </w:r>
      <w:r>
        <w:rPr>
          <w:rFonts w:hint="eastAsia" w:ascii="方正仿宋简体" w:hAnsi="方正仿宋简体" w:cs="方正仿宋简体"/>
          <w:b/>
          <w:bCs/>
          <w:sz w:val="32"/>
          <w:szCs w:val="32"/>
          <w:lang w:eastAsia="zh-CN"/>
        </w:rPr>
        <w:t>十八</w:t>
      </w:r>
      <w:r>
        <w:rPr>
          <w:rFonts w:hint="eastAsia" w:ascii="方正仿宋简体" w:hAnsi="方正仿宋简体" w:eastAsia="方正仿宋简体" w:cs="方正仿宋简体"/>
          <w:b/>
          <w:bCs/>
          <w:sz w:val="32"/>
          <w:szCs w:val="32"/>
        </w:rPr>
        <w:t>条</w:t>
      </w:r>
      <w:r>
        <w:rPr>
          <w:rFonts w:hint="eastAsia" w:ascii="方正仿宋简体" w:hAnsi="方正仿宋简体" w:eastAsia="方正仿宋简体" w:cs="方正仿宋简体"/>
          <w:sz w:val="32"/>
          <w:szCs w:val="32"/>
        </w:rPr>
        <w:t xml:space="preserve"> 本</w:t>
      </w:r>
      <w:r>
        <w:rPr>
          <w:rFonts w:hint="eastAsia" w:ascii="方正仿宋简体" w:hAnsi="方正仿宋简体" w:cs="方正仿宋简体"/>
          <w:sz w:val="32"/>
          <w:szCs w:val="32"/>
          <w:lang w:eastAsia="zh-CN"/>
        </w:rPr>
        <w:t>制度</w:t>
      </w:r>
      <w:r>
        <w:rPr>
          <w:rFonts w:hint="eastAsia" w:ascii="方正仿宋简体" w:hAnsi="方正仿宋简体" w:eastAsia="方正仿宋简体" w:cs="方正仿宋简体"/>
          <w:sz w:val="32"/>
          <w:szCs w:val="32"/>
        </w:rPr>
        <w:t>的解释权、修订权、补充权归</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所有。</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lang w:eastAsia="zh-CN"/>
        </w:rPr>
      </w:pPr>
      <w:r>
        <w:rPr>
          <w:rFonts w:hint="eastAsia" w:ascii="方正仿宋简体" w:hAnsi="方正仿宋简体" w:eastAsia="方正仿宋简体" w:cs="方正仿宋简体"/>
          <w:b/>
          <w:bCs/>
          <w:sz w:val="32"/>
          <w:szCs w:val="32"/>
        </w:rPr>
        <w:t>第</w:t>
      </w:r>
      <w:r>
        <w:rPr>
          <w:rFonts w:hint="eastAsia" w:ascii="方正仿宋简体" w:hAnsi="方正仿宋简体" w:cs="方正仿宋简体"/>
          <w:b/>
          <w:bCs/>
          <w:sz w:val="32"/>
          <w:szCs w:val="32"/>
          <w:lang w:eastAsia="zh-CN"/>
        </w:rPr>
        <w:t>十九</w:t>
      </w:r>
      <w:r>
        <w:rPr>
          <w:rFonts w:hint="eastAsia" w:ascii="方正仿宋简体" w:hAnsi="方正仿宋简体" w:eastAsia="方正仿宋简体" w:cs="方正仿宋简体"/>
          <w:b/>
          <w:bCs/>
          <w:sz w:val="32"/>
          <w:szCs w:val="32"/>
        </w:rPr>
        <w:t>条</w:t>
      </w:r>
      <w:r>
        <w:rPr>
          <w:rFonts w:hint="eastAsia" w:ascii="方正仿宋简体" w:hAnsi="方正仿宋简体" w:eastAsia="方正仿宋简体" w:cs="方正仿宋简体"/>
          <w:sz w:val="32"/>
          <w:szCs w:val="32"/>
        </w:rPr>
        <w:t xml:space="preserve"> 本</w:t>
      </w:r>
      <w:r>
        <w:rPr>
          <w:rFonts w:hint="eastAsia" w:ascii="方正仿宋简体" w:hAnsi="方正仿宋简体" w:cs="方正仿宋简体"/>
          <w:sz w:val="32"/>
          <w:szCs w:val="32"/>
          <w:lang w:eastAsia="zh-CN"/>
        </w:rPr>
        <w:t>制度</w:t>
      </w:r>
      <w:r>
        <w:rPr>
          <w:rFonts w:hint="eastAsia" w:ascii="方正仿宋简体" w:hAnsi="方正仿宋简体" w:eastAsia="方正仿宋简体" w:cs="方正仿宋简体"/>
          <w:sz w:val="32"/>
          <w:szCs w:val="32"/>
        </w:rPr>
        <w:t>自金堂基金会第一届理事会第</w:t>
      </w:r>
      <w:r>
        <w:rPr>
          <w:rFonts w:hint="eastAsia" w:ascii="方正仿宋简体" w:hAnsi="方正仿宋简体" w:cs="方正仿宋简体"/>
          <w:sz w:val="32"/>
          <w:szCs w:val="32"/>
          <w:lang w:eastAsia="zh-CN"/>
        </w:rPr>
        <w:t>三</w:t>
      </w:r>
      <w:r>
        <w:rPr>
          <w:rFonts w:hint="eastAsia" w:ascii="方正仿宋简体" w:hAnsi="方正仿宋简体" w:eastAsia="方正仿宋简体" w:cs="方正仿宋简体"/>
          <w:sz w:val="32"/>
          <w:szCs w:val="32"/>
        </w:rPr>
        <w:t>次会议审议通过后实施</w:t>
      </w:r>
      <w:r>
        <w:rPr>
          <w:rFonts w:hint="eastAsia" w:ascii="方正仿宋简体" w:hAnsi="方正仿宋简体" w:cs="方正仿宋简体"/>
          <w:sz w:val="32"/>
          <w:szCs w:val="32"/>
          <w:lang w:eastAsia="zh-CN"/>
        </w:rPr>
        <w:t>。</w:t>
      </w:r>
    </w:p>
    <w:sectPr>
      <w:footerReference r:id="rId5" w:type="default"/>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方正仿宋简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方正仿宋简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615F0812"/>
    <w:rsid w:val="026F18FB"/>
    <w:rsid w:val="05DD4B71"/>
    <w:rsid w:val="066967FC"/>
    <w:rsid w:val="07711F9C"/>
    <w:rsid w:val="07736DA2"/>
    <w:rsid w:val="096263EE"/>
    <w:rsid w:val="0A08749D"/>
    <w:rsid w:val="0CD46E93"/>
    <w:rsid w:val="0DB27ACC"/>
    <w:rsid w:val="0EE36C4E"/>
    <w:rsid w:val="10795D33"/>
    <w:rsid w:val="12E2793C"/>
    <w:rsid w:val="14243B67"/>
    <w:rsid w:val="15F462FF"/>
    <w:rsid w:val="18DA18AC"/>
    <w:rsid w:val="1970104B"/>
    <w:rsid w:val="1A1453E1"/>
    <w:rsid w:val="1CA25A20"/>
    <w:rsid w:val="21281331"/>
    <w:rsid w:val="21BF014F"/>
    <w:rsid w:val="228F34A7"/>
    <w:rsid w:val="23DB545D"/>
    <w:rsid w:val="24145C88"/>
    <w:rsid w:val="27782F71"/>
    <w:rsid w:val="29357105"/>
    <w:rsid w:val="31765C10"/>
    <w:rsid w:val="34D65A1D"/>
    <w:rsid w:val="362860B6"/>
    <w:rsid w:val="38383292"/>
    <w:rsid w:val="38C37097"/>
    <w:rsid w:val="3AFB6BB2"/>
    <w:rsid w:val="3F563270"/>
    <w:rsid w:val="3FE35FFF"/>
    <w:rsid w:val="40BF26F1"/>
    <w:rsid w:val="431D6B35"/>
    <w:rsid w:val="464B340F"/>
    <w:rsid w:val="48BA1D00"/>
    <w:rsid w:val="492D087A"/>
    <w:rsid w:val="4C606CEE"/>
    <w:rsid w:val="4EC322E5"/>
    <w:rsid w:val="50CB2A02"/>
    <w:rsid w:val="54D57BCA"/>
    <w:rsid w:val="55871344"/>
    <w:rsid w:val="55C23DE9"/>
    <w:rsid w:val="584E1AD4"/>
    <w:rsid w:val="58AE35EB"/>
    <w:rsid w:val="58CA0EC2"/>
    <w:rsid w:val="5AF500D3"/>
    <w:rsid w:val="5C3C3622"/>
    <w:rsid w:val="5D337B37"/>
    <w:rsid w:val="5DBE5492"/>
    <w:rsid w:val="5F6D7B90"/>
    <w:rsid w:val="5F7802FD"/>
    <w:rsid w:val="608B72BC"/>
    <w:rsid w:val="60F42B3C"/>
    <w:rsid w:val="615F0812"/>
    <w:rsid w:val="63AE3BD3"/>
    <w:rsid w:val="656365DD"/>
    <w:rsid w:val="684D1B56"/>
    <w:rsid w:val="6C9613CB"/>
    <w:rsid w:val="6DC62960"/>
    <w:rsid w:val="6FAE7273"/>
    <w:rsid w:val="71787327"/>
    <w:rsid w:val="72144B25"/>
    <w:rsid w:val="72725D09"/>
    <w:rsid w:val="74A5747E"/>
    <w:rsid w:val="77670192"/>
    <w:rsid w:val="7C152745"/>
    <w:rsid w:val="7E0C6984"/>
    <w:rsid w:val="7E243C60"/>
    <w:rsid w:val="7E6748A1"/>
    <w:rsid w:val="7F736D35"/>
    <w:rsid w:val="7F9A71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10" w:lineRule="exact"/>
      <w:ind w:firstLine="1440" w:firstLineChars="200"/>
      <w:jc w:val="both"/>
    </w:pPr>
    <w:rPr>
      <w:rFonts w:ascii="Calibri" w:hAnsi="Calibri" w:eastAsia="方正仿宋简体" w:cstheme="minorBidi"/>
      <w:kern w:val="2"/>
      <w:sz w:val="32"/>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4304</Words>
  <Characters>4323</Characters>
  <Lines>0</Lines>
  <Paragraphs>0</Paragraphs>
  <TotalTime>18</TotalTime>
  <ScaleCrop>false</ScaleCrop>
  <LinksUpToDate>false</LinksUpToDate>
  <CharactersWithSpaces>4365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2020-06-02T09:07:00Z</dcterms:created>
  <dc:creator>了无牵挂的TLY</dc:creator>
  <cp:lastModifiedBy>是情是缘是童真</cp:lastModifiedBy>
  <dcterms:modified xsi:type="dcterms:W3CDTF">2023-10-07T09:34:15Z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7822FC465F1D4E9A9DD2F114A3EB6F23_13</vt:lpwstr>
  </property>
</Properties>
</file>